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BB679" w14:textId="77777777" w:rsidR="00B8199B" w:rsidRPr="00B8199B" w:rsidRDefault="00B8199B" w:rsidP="00B8199B">
      <w:pPr>
        <w:spacing w:after="0" w:line="240" w:lineRule="auto"/>
        <w:rPr>
          <w:rFonts w:ascii="Times New Roman" w:hAnsi="Times New Roman" w:cs="Times New Roman"/>
          <w:b/>
          <w:bCs/>
          <w:szCs w:val="22"/>
        </w:rPr>
      </w:pPr>
    </w:p>
    <w:p w14:paraId="2006E27C" w14:textId="77777777" w:rsidR="00B8199B" w:rsidRPr="00B8199B" w:rsidRDefault="00B8199B" w:rsidP="00B8199B">
      <w:pPr>
        <w:spacing w:after="0" w:line="240" w:lineRule="auto"/>
        <w:rPr>
          <w:rFonts w:ascii="Times New Roman" w:hAnsi="Times New Roman" w:cs="Times New Roman"/>
          <w:b/>
          <w:bCs/>
          <w:szCs w:val="22"/>
        </w:rPr>
      </w:pPr>
    </w:p>
    <w:p w14:paraId="032AA2CD" w14:textId="0284142E" w:rsidR="001E352C" w:rsidRPr="00B8199B" w:rsidRDefault="004D1ED0" w:rsidP="00B8199B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8199B">
        <w:rPr>
          <w:rFonts w:ascii="Times New Roman" w:hAnsi="Times New Roman" w:cs="Times New Roman"/>
          <w:b/>
          <w:bCs/>
          <w:sz w:val="28"/>
          <w:szCs w:val="28"/>
        </w:rPr>
        <w:t>LECZENIE CHORYCH NA PRZERZUTOWEGO LUB NAWRACAJĄCEGO MIEJSCOWO ZAAWANSOWANEGO RAKA Z KOMÓREK MERKLA</w:t>
      </w:r>
      <w:r w:rsidR="005045A5" w:rsidRPr="00B8199B">
        <w:rPr>
          <w:rFonts w:ascii="Times New Roman" w:hAnsi="Times New Roman" w:cs="Times New Roman"/>
          <w:b/>
          <w:bCs/>
          <w:sz w:val="28"/>
          <w:szCs w:val="28"/>
        </w:rPr>
        <w:t xml:space="preserve"> (MCC)</w:t>
      </w:r>
      <w:r w:rsidRPr="00B8199B">
        <w:rPr>
          <w:rFonts w:ascii="Times New Roman" w:hAnsi="Times New Roman" w:cs="Times New Roman"/>
          <w:b/>
          <w:bCs/>
          <w:sz w:val="28"/>
          <w:szCs w:val="28"/>
        </w:rPr>
        <w:t xml:space="preserve"> (ICD-10: C44)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4820"/>
        <w:gridCol w:w="5470"/>
      </w:tblGrid>
      <w:tr w:rsidR="004D1ED0" w:rsidRPr="004D1ED0" w14:paraId="415F1C45" w14:textId="77777777" w:rsidTr="00B8199B">
        <w:trPr>
          <w:trHeight w:val="567"/>
        </w:trPr>
        <w:tc>
          <w:tcPr>
            <w:tcW w:w="15388" w:type="dxa"/>
            <w:gridSpan w:val="3"/>
            <w:vAlign w:val="center"/>
          </w:tcPr>
          <w:p w14:paraId="15B44F9E" w14:textId="77777777" w:rsidR="004D1ED0" w:rsidRPr="004D1ED0" w:rsidRDefault="004D1ED0" w:rsidP="00B81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1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4D1ED0" w:rsidRPr="004D1ED0" w14:paraId="06D51027" w14:textId="77777777" w:rsidTr="00B8199B">
        <w:trPr>
          <w:trHeight w:val="567"/>
        </w:trPr>
        <w:tc>
          <w:tcPr>
            <w:tcW w:w="5098" w:type="dxa"/>
            <w:vAlign w:val="center"/>
          </w:tcPr>
          <w:p w14:paraId="78CC5290" w14:textId="77777777" w:rsidR="004D1ED0" w:rsidRPr="004D1ED0" w:rsidRDefault="004D1ED0" w:rsidP="00B81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1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820" w:type="dxa"/>
            <w:vAlign w:val="center"/>
          </w:tcPr>
          <w:p w14:paraId="518853CD" w14:textId="77777777" w:rsidR="004D1ED0" w:rsidRPr="004D1ED0" w:rsidRDefault="004D1ED0" w:rsidP="00B81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1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5470" w:type="dxa"/>
            <w:vAlign w:val="center"/>
          </w:tcPr>
          <w:p w14:paraId="7603B21E" w14:textId="77777777" w:rsidR="004D1ED0" w:rsidRPr="004D1ED0" w:rsidRDefault="004D1ED0" w:rsidP="00B81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1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D1ED0" w:rsidRPr="004D1ED0" w14:paraId="4989577A" w14:textId="77777777" w:rsidTr="00DA5FCA">
        <w:tc>
          <w:tcPr>
            <w:tcW w:w="5098" w:type="dxa"/>
          </w:tcPr>
          <w:p w14:paraId="36D96755" w14:textId="77777777" w:rsidR="004D1ED0" w:rsidRDefault="004D1ED0" w:rsidP="00DA5FCA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W programie finansuje się leczenie systemowe </w:t>
            </w:r>
            <w:proofErr w:type="spellStart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retifanlimabem</w:t>
            </w:r>
            <w:proofErr w:type="spellEnd"/>
            <w:r w:rsidR="005E223C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przerzutowego lub nawracającego miejscowo zaawansowanego raka z komórek Merkla (MCC).</w:t>
            </w:r>
          </w:p>
          <w:p w14:paraId="75A33C98" w14:textId="77777777" w:rsidR="00B8199B" w:rsidRPr="00B8199B" w:rsidRDefault="00B8199B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AABE1" w14:textId="77777777" w:rsidR="00B8199B" w:rsidRDefault="005045A5" w:rsidP="00B8199B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Kryteria kwalifikacji do leczenia</w:t>
            </w:r>
          </w:p>
          <w:p w14:paraId="0F92A3F8" w14:textId="77777777" w:rsidR="00B8199B" w:rsidRPr="00B8199B" w:rsidRDefault="005045A5" w:rsidP="00B8199B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wiek 18 lat i powyżej</w:t>
            </w:r>
            <w:r w:rsidR="00435920" w:rsidRPr="00B819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FD7390" w14:textId="77777777" w:rsidR="00B8199B" w:rsidRPr="00B8199B" w:rsidRDefault="005045A5" w:rsidP="00B8199B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rozpoznanie MCC</w:t>
            </w:r>
            <w:r w:rsidR="00EA3EF4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potwierdzone w badaniu patomorfologicznym</w:t>
            </w:r>
            <w:r w:rsidR="001A76CC" w:rsidRPr="00B8199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0C96416" w14:textId="77777777" w:rsidR="00B8199B" w:rsidRPr="00B8199B" w:rsidRDefault="005045A5" w:rsidP="00B8199B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z przerzutami odległymi</w:t>
            </w:r>
          </w:p>
          <w:p w14:paraId="36B75CC5" w14:textId="77777777" w:rsidR="00B8199B" w:rsidRPr="00B8199B" w:rsidRDefault="005045A5" w:rsidP="00B8199B">
            <w:pPr>
              <w:spacing w:after="60" w:line="276" w:lineRule="auto"/>
              <w:ind w:left="34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AE40353" w14:textId="6A64C3C5" w:rsidR="005045A5" w:rsidRPr="00B8199B" w:rsidRDefault="00EA3EF4" w:rsidP="00B8199B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44699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postaci </w:t>
            </w:r>
            <w:r w:rsidR="005045A5" w:rsidRPr="00B8199B">
              <w:rPr>
                <w:rFonts w:ascii="Times New Roman" w:hAnsi="Times New Roman" w:cs="Times New Roman"/>
                <w:sz w:val="20"/>
                <w:szCs w:val="20"/>
              </w:rPr>
              <w:t>nawracając</w:t>
            </w:r>
            <w:r w:rsidR="00744699" w:rsidRPr="00B8199B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5045A5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lokoregionalnej</w:t>
            </w:r>
            <w:proofErr w:type="spellEnd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choroby </w:t>
            </w:r>
            <w:r w:rsidR="005045A5" w:rsidRPr="00B8199B">
              <w:rPr>
                <w:rFonts w:ascii="Times New Roman" w:hAnsi="Times New Roman" w:cs="Times New Roman"/>
                <w:sz w:val="20"/>
                <w:szCs w:val="20"/>
              </w:rPr>
              <w:t>zaawansowan</w:t>
            </w:r>
            <w:r w:rsidR="00744699" w:rsidRPr="00B8199B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1A76CC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niekwalifikując</w:t>
            </w:r>
            <w:r w:rsidR="00744699" w:rsidRPr="00B8199B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1A76CC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się do leczenia chirurgicznego i radioterapii</w:t>
            </w:r>
            <w:r w:rsidR="00435920" w:rsidRPr="00B819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6066D6" w14:textId="77777777" w:rsidR="001A76CC" w:rsidRPr="00B8199B" w:rsidRDefault="001A76CC" w:rsidP="00B8199B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brak wcześniejszego leczenia systemowego MCC</w:t>
            </w:r>
            <w:r w:rsidR="000D74E3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(nie dotyczy wcześniejszego leczenia okołooperacyjnego)</w:t>
            </w:r>
            <w:r w:rsidR="00296531" w:rsidRPr="00B8199B">
              <w:rPr>
                <w:rFonts w:ascii="Times New Roman" w:hAnsi="Times New Roman" w:cs="Times New Roman"/>
                <w:sz w:val="20"/>
                <w:szCs w:val="20"/>
              </w:rPr>
              <w:t>, w tym chemioterapii i terapii ukierunkowanej na PD-1 lub PD-L1;</w:t>
            </w:r>
          </w:p>
          <w:p w14:paraId="0555F7DD" w14:textId="77777777" w:rsidR="001D28B8" w:rsidRPr="00B8199B" w:rsidRDefault="001D28B8" w:rsidP="00B8199B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4E127DC6" w14:textId="77777777" w:rsidR="001A76CC" w:rsidRPr="00B8199B" w:rsidRDefault="001A76CC" w:rsidP="00B8199B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stan sprawności 0 – 1 według skali ECOG;</w:t>
            </w:r>
          </w:p>
          <w:p w14:paraId="36700061" w14:textId="77777777" w:rsidR="001A76CC" w:rsidRPr="00B8199B" w:rsidRDefault="001A76CC" w:rsidP="00B8199B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możliwa ocena odpowiedzi na leczenie zmian nowotworowych według aktualnej klasyfikacji RECIST</w:t>
            </w:r>
            <w:r w:rsidR="00435920" w:rsidRPr="00B819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CB4EDA" w14:textId="77777777" w:rsidR="001A76CC" w:rsidRPr="00B8199B" w:rsidRDefault="001A76CC" w:rsidP="00B8199B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6F9CAADA" w14:textId="77777777" w:rsidR="001A76CC" w:rsidRPr="00B8199B" w:rsidRDefault="001A76CC" w:rsidP="00B8199B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nieobecność istotnych schorzeń współistniejących lub stanów klinicznych stanowiących przeciwwskazanie do terapii, stwierdzonych przez lekarza prowadzącego w oparciu o aktualną ChPL;</w:t>
            </w:r>
          </w:p>
          <w:p w14:paraId="68536D19" w14:textId="77777777" w:rsidR="00A1376D" w:rsidRPr="00B8199B" w:rsidRDefault="00A1376D" w:rsidP="00B8199B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638D4B3F" w14:textId="77777777" w:rsidR="001A76CC" w:rsidRPr="00B8199B" w:rsidRDefault="001A76CC" w:rsidP="00B8199B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zgoda pacjenta na prowadzenie antykoncepcji zgodnie z aktualną ChPL</w:t>
            </w:r>
            <w:r w:rsidR="007B3A77" w:rsidRPr="00B819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8C90B2" w14:textId="77777777" w:rsidR="002254DD" w:rsidRPr="00B8199B" w:rsidRDefault="002D60AA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3197CA37" w14:textId="77777777" w:rsidR="001A76CC" w:rsidRDefault="00DD464C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kwalifikowani są również pacjenci wymagający kontynuacji leczenia, którzy byli leczeni </w:t>
            </w:r>
            <w:proofErr w:type="spellStart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retifanlimabem</w:t>
            </w:r>
            <w:proofErr w:type="spellEnd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 w ramach innego sposobu finansowania terapii (za wyjątkiem trwających badań klinicznych), pod warunkiem, że w chwili rozpoczęcia leczenia spełniali kryteria kwalifikacji do programu lekowego.</w:t>
            </w:r>
          </w:p>
          <w:p w14:paraId="347D1DE8" w14:textId="77777777" w:rsidR="00B8199B" w:rsidRPr="00B8199B" w:rsidRDefault="00B8199B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579BF" w14:textId="77777777" w:rsidR="00DD464C" w:rsidRPr="00B8199B" w:rsidRDefault="00DD464C" w:rsidP="00B8199B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498C5F17" w14:textId="77777777" w:rsidR="00DD464C" w:rsidRPr="00B8199B" w:rsidRDefault="00DD464C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Leczenie trwa </w:t>
            </w:r>
            <w:r w:rsidR="008F050E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maksymalnie przez 2 lata lub 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do czasu podjęcia przez lekarza prowadzącego decyzji o wyłączeniu świadczeniobiorcy z programu zgodnie z kryteriami wyłączenia</w:t>
            </w:r>
            <w:r w:rsidR="008F050E" w:rsidRPr="00B819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28D2DE" w14:textId="3EF1197C" w:rsidR="00435920" w:rsidRDefault="00435920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Czas leczenia pacjentów zakwalifikowanych do programu w ramach kontynuacji leczenia rozpoczętego w ramach innego 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sposobu </w:t>
            </w:r>
            <w:r w:rsidR="007B3A77" w:rsidRPr="00B8199B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nie może przekroczyć 2 lat od momentu rozpoczęcia przyjmowania </w:t>
            </w:r>
            <w:proofErr w:type="spellStart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retifanlimabu</w:t>
            </w:r>
            <w:proofErr w:type="spellEnd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1FDF1D" w14:textId="77777777" w:rsidR="00B8199B" w:rsidRPr="00B8199B" w:rsidRDefault="00B8199B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2E5C80" w14:textId="77777777" w:rsidR="00DD464C" w:rsidRPr="00B8199B" w:rsidRDefault="00DD464C" w:rsidP="00B8199B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wyłączenia z programu</w:t>
            </w:r>
          </w:p>
          <w:p w14:paraId="739F69C5" w14:textId="77777777" w:rsidR="00DD464C" w:rsidRPr="00B8199B" w:rsidRDefault="008F050E" w:rsidP="00B8199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progresja choroby oceniona zgodnie z aktualnie obowiązującymi kryteriami RECIST</w:t>
            </w:r>
            <w:r w:rsidR="00435920" w:rsidRPr="00B819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A9B183" w14:textId="77777777" w:rsidR="008F050E" w:rsidRPr="00B8199B" w:rsidRDefault="008F050E" w:rsidP="00B8199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utrzymujące się istotne pogorszenie stanu sprawności ogólnej lub jakości życia uniemożliwiające kontynuację leczenia;</w:t>
            </w:r>
          </w:p>
          <w:p w14:paraId="1A0BCDAD" w14:textId="77777777" w:rsidR="008F050E" w:rsidRPr="00B8199B" w:rsidRDefault="008F050E" w:rsidP="00B8199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51DE2C94" w14:textId="77777777" w:rsidR="008F050E" w:rsidRPr="00B8199B" w:rsidRDefault="008F050E" w:rsidP="00B8199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wystąpienie objawów nadwrażliwości na substancję czynną lub którąkolwiek substancję pomocniczą;</w:t>
            </w:r>
          </w:p>
          <w:p w14:paraId="53611596" w14:textId="77777777" w:rsidR="008F050E" w:rsidRPr="00B8199B" w:rsidRDefault="008F050E" w:rsidP="00B8199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4E8603F1" w14:textId="77777777" w:rsidR="008F050E" w:rsidRPr="00B8199B" w:rsidRDefault="008F050E" w:rsidP="00B8199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okres ciąży lub karmienia piersią;</w:t>
            </w:r>
          </w:p>
          <w:p w14:paraId="06521656" w14:textId="77777777" w:rsidR="008F050E" w:rsidRPr="00B8199B" w:rsidRDefault="008F050E" w:rsidP="00B8199B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</w:tc>
        <w:tc>
          <w:tcPr>
            <w:tcW w:w="4820" w:type="dxa"/>
          </w:tcPr>
          <w:p w14:paraId="162F964B" w14:textId="77777777" w:rsidR="004D1ED0" w:rsidRPr="00B8199B" w:rsidRDefault="008F050E" w:rsidP="00DA5FC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3AA585CD" w14:textId="77777777" w:rsidR="008F050E" w:rsidRPr="00B8199B" w:rsidRDefault="008F050E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Zalecana dawka </w:t>
            </w:r>
            <w:proofErr w:type="spellStart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retifanlimabu</w:t>
            </w:r>
            <w:proofErr w:type="spellEnd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to 500 mg</w:t>
            </w:r>
            <w:r w:rsidR="00435920" w:rsidRPr="00B819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podawana w infuzji dożylnej przez 30 minut co 4 tygodnie.</w:t>
            </w:r>
          </w:p>
          <w:p w14:paraId="7B0AD90B" w14:textId="77777777" w:rsidR="008F050E" w:rsidRPr="00B8199B" w:rsidRDefault="008F050E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Szczegóły sposobu podawania</w:t>
            </w:r>
            <w:r w:rsidR="0040345C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345C" w:rsidRPr="00B8199B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dawkowania </w:t>
            </w:r>
            <w:r w:rsidR="0040345C" w:rsidRPr="00B8199B">
              <w:rPr>
                <w:rFonts w:ascii="Times New Roman" w:hAnsi="Times New Roman" w:cs="Times New Roman"/>
                <w:sz w:val="20"/>
                <w:szCs w:val="20"/>
              </w:rPr>
              <w:t>zawarte w aktualnej Charakterystyce Produktu Leczniczego.</w:t>
            </w:r>
          </w:p>
        </w:tc>
        <w:tc>
          <w:tcPr>
            <w:tcW w:w="5470" w:type="dxa"/>
          </w:tcPr>
          <w:p w14:paraId="6A357773" w14:textId="77777777" w:rsidR="004D1ED0" w:rsidRPr="00B8199B" w:rsidRDefault="0040345C" w:rsidP="00DA5FCA">
            <w:pPr>
              <w:pStyle w:val="Akapitzlist"/>
              <w:numPr>
                <w:ilvl w:val="0"/>
                <w:numId w:val="18"/>
              </w:numPr>
              <w:spacing w:before="6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 do programu</w:t>
            </w:r>
          </w:p>
          <w:p w14:paraId="20346BBE" w14:textId="77777777" w:rsidR="0040345C" w:rsidRPr="00B8199B" w:rsidRDefault="002254DD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E232D4" w:rsidRPr="00B8199B">
              <w:rPr>
                <w:rFonts w:ascii="Times New Roman" w:hAnsi="Times New Roman" w:cs="Times New Roman"/>
                <w:sz w:val="20"/>
                <w:szCs w:val="20"/>
              </w:rPr>
              <w:t>istologiczne potwierdzenie</w:t>
            </w:r>
            <w:r w:rsidR="0040345C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raka z komórek Merkla</w:t>
            </w:r>
            <w:r w:rsidR="00435920" w:rsidRPr="00B819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162042" w14:textId="047D8E95" w:rsidR="002D60AA" w:rsidRPr="00B8199B" w:rsidRDefault="00462AA7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badanie TK lub MR </w:t>
            </w:r>
            <w:r w:rsidR="008425FC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szyi, klatki piersiowej, jamy brzusznej i miednicy w celu udokumentowania zmian przerzutowych oraz ośrodkowego układu nerwowego 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w przypadku wskazań klinicznych;</w:t>
            </w:r>
          </w:p>
          <w:p w14:paraId="69E03B59" w14:textId="77777777" w:rsidR="0040345C" w:rsidRPr="00B8199B" w:rsidRDefault="002254DD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0345C" w:rsidRPr="00B8199B">
              <w:rPr>
                <w:rFonts w:ascii="Times New Roman" w:hAnsi="Times New Roman" w:cs="Times New Roman"/>
                <w:sz w:val="20"/>
                <w:szCs w:val="20"/>
              </w:rPr>
              <w:t>orfologia krwi z rozmazem</w:t>
            </w:r>
            <w:r w:rsidR="00435920" w:rsidRPr="00B819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51A816" w14:textId="77777777" w:rsidR="0040345C" w:rsidRPr="00B8199B" w:rsidRDefault="002254DD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0345C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znaczenie aktywności aminotransferazy </w:t>
            </w:r>
            <w:proofErr w:type="spellStart"/>
            <w:r w:rsidR="0040345C" w:rsidRPr="00B8199B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="0040345C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we krwi</w:t>
            </w:r>
            <w:r w:rsidR="00435920" w:rsidRPr="00B819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AA3D45" w14:textId="77777777" w:rsidR="0040345C" w:rsidRPr="00B8199B" w:rsidRDefault="002254DD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0345C" w:rsidRPr="00B8199B">
              <w:rPr>
                <w:rFonts w:ascii="Times New Roman" w:hAnsi="Times New Roman" w:cs="Times New Roman"/>
                <w:sz w:val="20"/>
                <w:szCs w:val="20"/>
              </w:rPr>
              <w:t>znaczenie aktywności aminotransferazy alaninowej we krwi;</w:t>
            </w:r>
          </w:p>
          <w:p w14:paraId="62FD3B68" w14:textId="77777777" w:rsidR="0040345C" w:rsidRPr="00B8199B" w:rsidRDefault="002254DD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0345C" w:rsidRPr="00B8199B">
              <w:rPr>
                <w:rFonts w:ascii="Times New Roman" w:hAnsi="Times New Roman" w:cs="Times New Roman"/>
                <w:sz w:val="20"/>
                <w:szCs w:val="20"/>
              </w:rPr>
              <w:t>znaczenie stężenia bilirubiny związanej i całkowitej we krwi;</w:t>
            </w:r>
          </w:p>
          <w:p w14:paraId="27DCFF97" w14:textId="77777777" w:rsidR="00462AA7" w:rsidRPr="00B8199B" w:rsidRDefault="00462AA7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aktywności fosfatazy zasadowej;</w:t>
            </w:r>
          </w:p>
          <w:p w14:paraId="64461287" w14:textId="77777777" w:rsidR="001D28B8" w:rsidRPr="00B8199B" w:rsidRDefault="001D28B8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stężenia glukozy we krwi;</w:t>
            </w:r>
          </w:p>
          <w:p w14:paraId="6F41BA9A" w14:textId="77777777" w:rsidR="00462AA7" w:rsidRPr="00B8199B" w:rsidRDefault="00462AA7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stężenia kreatyniny;</w:t>
            </w:r>
          </w:p>
          <w:p w14:paraId="47A0A5EC" w14:textId="77777777" w:rsidR="002D60AA" w:rsidRPr="00B8199B" w:rsidRDefault="002D60AA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stężenia elektrolitów we krwi (sód, potas, wapń);</w:t>
            </w:r>
          </w:p>
          <w:p w14:paraId="790A31DD" w14:textId="77777777" w:rsidR="0040345C" w:rsidRPr="00B8199B" w:rsidRDefault="009E04A5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poziomu TSH, fT3 i fT4 we krwi;</w:t>
            </w:r>
          </w:p>
          <w:p w14:paraId="1727D10A" w14:textId="77777777" w:rsidR="009E04A5" w:rsidRPr="00B8199B" w:rsidRDefault="009E04A5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ocena sprawności w skali ECOG;</w:t>
            </w:r>
          </w:p>
          <w:p w14:paraId="6D8B39E2" w14:textId="77777777" w:rsidR="009E04A5" w:rsidRPr="00B8199B" w:rsidRDefault="009E04A5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test ciążowy </w:t>
            </w:r>
            <w:r w:rsidR="00462AA7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z próbki krwi 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u kobiet w wieku rozrodczym</w:t>
            </w:r>
            <w:r w:rsidR="00462AA7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(wynik ważny 4 dni)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38775C" w14:textId="77777777" w:rsidR="009E04A5" w:rsidRPr="00B8199B" w:rsidRDefault="009E04A5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pełne badanie przedmiotowe wraz z oceną całej skóry;</w:t>
            </w:r>
          </w:p>
          <w:p w14:paraId="3E47B966" w14:textId="005339AD" w:rsidR="006F214F" w:rsidRPr="00B8199B" w:rsidRDefault="006F214F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badanie EKG i stężenia </w:t>
            </w:r>
            <w:proofErr w:type="spellStart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troponiny</w:t>
            </w:r>
            <w:proofErr w:type="spellEnd"/>
            <w:r w:rsidR="008A590A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we krwi;</w:t>
            </w:r>
          </w:p>
          <w:p w14:paraId="60A041A3" w14:textId="77777777" w:rsidR="00462AA7" w:rsidRPr="00B8199B" w:rsidRDefault="00462AA7" w:rsidP="00B8199B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inne badania laboratoryjne i obrazowe w razie wskazań klinicznych.</w:t>
            </w:r>
          </w:p>
          <w:p w14:paraId="7F030445" w14:textId="77777777" w:rsidR="00831AA5" w:rsidRDefault="00462AA7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Wstępne badania obrazowe muszą umożliwiać późniejszą obiektywną ocenę odpowiedzi na leczenie.</w:t>
            </w:r>
          </w:p>
          <w:p w14:paraId="28AAE27A" w14:textId="77777777" w:rsidR="00B8199B" w:rsidRPr="00B8199B" w:rsidRDefault="00B8199B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C7C726" w14:textId="77777777" w:rsidR="002D60AA" w:rsidRPr="00B8199B" w:rsidRDefault="002D60AA" w:rsidP="00B8199B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582FCEDA" w14:textId="77777777" w:rsidR="00435920" w:rsidRPr="00B8199B" w:rsidRDefault="00435920" w:rsidP="00B8199B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14:paraId="3D1F5710" w14:textId="77777777" w:rsidR="00435920" w:rsidRPr="00B8199B" w:rsidRDefault="00435920" w:rsidP="00B8199B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14:paraId="765BE0CB" w14:textId="77777777" w:rsidR="002D60AA" w:rsidRPr="00B8199B" w:rsidRDefault="002D60AA" w:rsidP="00B8199B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bezpieczeństwa leczenia</w:t>
            </w:r>
          </w:p>
          <w:p w14:paraId="3DCBBFBC" w14:textId="3BAAAFC2" w:rsidR="00462AA7" w:rsidRPr="00B8199B" w:rsidRDefault="00462AA7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Badania wykonuje się co </w:t>
            </w:r>
            <w:r w:rsidR="008A590A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A590A" w:rsidRPr="00B8199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– przed decyzją o kontynuowaniu leczenia.</w:t>
            </w:r>
            <w:r w:rsidR="00831AA5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W przypadku wskazań klinicznych badania monitorujące bezpieczeństwo mogą być wykonywane częściej.</w:t>
            </w:r>
          </w:p>
          <w:p w14:paraId="4C877007" w14:textId="77777777" w:rsidR="00462AA7" w:rsidRPr="00B8199B" w:rsidRDefault="00462AA7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435920" w:rsidRPr="00B819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F03598" w14:textId="77777777" w:rsidR="00B8199B" w:rsidRDefault="00283620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pełne badanie przedmiotowe wraz z oceną całej skóry;</w:t>
            </w:r>
          </w:p>
          <w:p w14:paraId="262FFE4C" w14:textId="4F01D90A" w:rsidR="00462AA7" w:rsidRPr="00B8199B" w:rsidRDefault="00462AA7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we krwi</w:t>
            </w:r>
            <w:r w:rsidR="00435920" w:rsidRPr="00B819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E015C0" w14:textId="77777777" w:rsidR="00B8199B" w:rsidRDefault="00462AA7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75DBB638" w14:textId="213FD521" w:rsidR="00462AA7" w:rsidRPr="00B8199B" w:rsidRDefault="00462AA7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stężenia bilirubiny związanej i całkowitej we krwi;</w:t>
            </w:r>
          </w:p>
          <w:p w14:paraId="63FE8737" w14:textId="77777777" w:rsidR="00B8199B" w:rsidRDefault="00462AA7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aktywności fosfatazy zasadowej;</w:t>
            </w:r>
          </w:p>
          <w:p w14:paraId="278DC762" w14:textId="26F36F38" w:rsidR="001D28B8" w:rsidRPr="00B8199B" w:rsidRDefault="001D28B8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stężenia glukozy we krwi;</w:t>
            </w:r>
          </w:p>
          <w:p w14:paraId="03B9E02C" w14:textId="77777777" w:rsidR="00B8199B" w:rsidRDefault="00462AA7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stężenia kreatyniny;</w:t>
            </w:r>
          </w:p>
          <w:p w14:paraId="3C9FB102" w14:textId="145B0ACC" w:rsidR="00462AA7" w:rsidRPr="00B8199B" w:rsidRDefault="00462AA7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stężenia elektrolitów we krwi (sód, potas, wapń);</w:t>
            </w:r>
          </w:p>
          <w:p w14:paraId="165AD2E8" w14:textId="77777777" w:rsidR="00B8199B" w:rsidRDefault="00462AA7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oznaczenie poziomu TSH, fT3 i fT4 we krwi;</w:t>
            </w:r>
          </w:p>
          <w:p w14:paraId="71B8E68B" w14:textId="65B61BF1" w:rsidR="00462AA7" w:rsidRPr="00B8199B" w:rsidRDefault="00462AA7" w:rsidP="00B8199B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ocena sprawności w skali ECOG</w:t>
            </w:r>
            <w:r w:rsidR="003E66BA" w:rsidRPr="00B819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CFEC51" w14:textId="13B7AEC4" w:rsidR="008A590A" w:rsidRPr="00B8199B" w:rsidRDefault="003E66BA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Dodatkowo jedynie w razie wskazań klinicznych </w:t>
            </w:r>
            <w:r w:rsidR="001D28B8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RTG </w:t>
            </w:r>
            <w:r w:rsidR="008A590A" w:rsidRPr="00B8199B">
              <w:rPr>
                <w:rFonts w:ascii="Times New Roman" w:hAnsi="Times New Roman" w:cs="Times New Roman"/>
                <w:sz w:val="20"/>
                <w:szCs w:val="20"/>
              </w:rPr>
              <w:t>klatki piersiowej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E2CC981" w14:textId="77777777" w:rsidR="00A1376D" w:rsidRPr="00B8199B" w:rsidRDefault="00A1376D" w:rsidP="00B8199B">
            <w:pPr>
              <w:pStyle w:val="Akapitzlist"/>
              <w:spacing w:after="60" w:line="276" w:lineRule="auto"/>
              <w:ind w:left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73B489B" w14:textId="77777777" w:rsidR="002D60AA" w:rsidRPr="00B8199B" w:rsidRDefault="00462AA7" w:rsidP="00B8199B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skuteczności leczenia</w:t>
            </w:r>
          </w:p>
          <w:p w14:paraId="385D4DFB" w14:textId="77777777" w:rsidR="00831AA5" w:rsidRPr="00B8199B" w:rsidRDefault="00831AA5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W celu monitorowania skuteczności leczenia wykonywane są badania obrazowe konieczne do oceny zmian </w:t>
            </w:r>
            <w:r w:rsidR="00A1376D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nowotworowych 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według aktualnie obowiązujących kryteriów RECIST: badanie TK lub MRI odpowiednich obszarów ciała lub inne badania w razie wskazań klinicznych.</w:t>
            </w:r>
          </w:p>
          <w:p w14:paraId="6E8570C5" w14:textId="77777777" w:rsidR="00831AA5" w:rsidRPr="00B8199B" w:rsidRDefault="00831AA5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Określenie odpowiedzi na leczenie powinno być wykonywane z wykorzystaniem metody identycznej do wykorzystanej podczas kwalifik</w:t>
            </w:r>
            <w:r w:rsidR="00A1376D" w:rsidRPr="00B8199B">
              <w:rPr>
                <w:rFonts w:ascii="Times New Roman" w:hAnsi="Times New Roman" w:cs="Times New Roman"/>
                <w:sz w:val="20"/>
                <w:szCs w:val="20"/>
              </w:rPr>
              <w:t>acji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 do leczenia.</w:t>
            </w:r>
          </w:p>
          <w:p w14:paraId="10442690" w14:textId="22EF7025" w:rsidR="00462AA7" w:rsidRPr="00B8199B" w:rsidRDefault="00831AA5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Badania wykonuje się </w:t>
            </w:r>
            <w:r w:rsidR="008A590A"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co </w:t>
            </w: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12 tygodni (+/– 1 tydzień) od podania pierwszej dawk</w:t>
            </w:r>
            <w:r w:rsidR="008A590A" w:rsidRPr="00B8199B"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  <w:p w14:paraId="2188127E" w14:textId="77777777" w:rsidR="00831AA5" w:rsidRPr="00B8199B" w:rsidRDefault="00831AA5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Ponadto, badania monitorujące skuteczność leczenia należy wykonać zawsze przy klinicznym podejrzeniu progresji oraz w chwili wyłączenia z programu.</w:t>
            </w:r>
          </w:p>
          <w:p w14:paraId="7C3A3DBE" w14:textId="77777777" w:rsidR="00831AA5" w:rsidRPr="00B8199B" w:rsidRDefault="00831AA5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 xml:space="preserve">Na podstawie ww. badań w celu monitorowania skuteczności terapii określa się indywidualnie dla każdego pacjenta wskaźniki odpowiedzi na leczenie, w tym: </w:t>
            </w:r>
          </w:p>
          <w:p w14:paraId="615F9749" w14:textId="77777777" w:rsidR="00831AA5" w:rsidRPr="00B8199B" w:rsidRDefault="00831AA5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- całkowitą (CR) lub częściową odpowiedź (PR) na leczenie;</w:t>
            </w:r>
          </w:p>
          <w:p w14:paraId="2B3BAFB3" w14:textId="77777777" w:rsidR="00831AA5" w:rsidRPr="00B8199B" w:rsidRDefault="00831AA5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- stabilizację (SD) lub progresję choroby (PD);</w:t>
            </w:r>
          </w:p>
          <w:p w14:paraId="2BD03A40" w14:textId="77777777" w:rsidR="00831AA5" w:rsidRDefault="00831AA5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- całkowite przeżycie (OS) i czas do progresji (PFS).</w:t>
            </w:r>
          </w:p>
          <w:p w14:paraId="538FB16D" w14:textId="77777777" w:rsidR="00B8199B" w:rsidRPr="00B8199B" w:rsidRDefault="00B8199B" w:rsidP="00B819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76304" w14:textId="77777777" w:rsidR="00831AA5" w:rsidRPr="00B8199B" w:rsidRDefault="00831AA5" w:rsidP="00B8199B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programu</w:t>
            </w:r>
          </w:p>
          <w:p w14:paraId="297E9261" w14:textId="77777777" w:rsidR="00831AA5" w:rsidRPr="00B8199B" w:rsidRDefault="00831AA5" w:rsidP="00B8199B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77C26BE0" w14:textId="77777777" w:rsidR="00831AA5" w:rsidRPr="00B8199B" w:rsidRDefault="00831AA5" w:rsidP="00B8199B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uzupełnianie danych zawartych w elektronicznym systemie monitorowania programów lekowych, w tym przekazywanie danych dotyczących wskaźników skuteczności terapii zawartych w pkt. 3  dostępnym za pomocą aplikacji internetowej udostępnionej przez OW NFZ, z częstotliwością zgodną z opisem programu oraz na zakończenie leczenia;</w:t>
            </w:r>
          </w:p>
          <w:p w14:paraId="78B16C01" w14:textId="77777777" w:rsidR="00831AA5" w:rsidRPr="00B8199B" w:rsidRDefault="00831AA5" w:rsidP="00B8199B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99B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</w:tc>
      </w:tr>
    </w:tbl>
    <w:p w14:paraId="34EDB990" w14:textId="77777777" w:rsidR="004D1ED0" w:rsidRPr="004D1ED0" w:rsidRDefault="004D1ED0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4D1ED0" w:rsidRPr="004D1ED0" w:rsidSect="00B8199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3893"/>
    <w:multiLevelType w:val="multilevel"/>
    <w:tmpl w:val="81C6E6C0"/>
    <w:numStyleLink w:val="Programylekowe"/>
  </w:abstractNum>
  <w:abstractNum w:abstractNumId="1" w15:restartNumberingAfterBreak="0">
    <w:nsid w:val="05F94864"/>
    <w:multiLevelType w:val="multilevel"/>
    <w:tmpl w:val="8084BE06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lvlText w:val="%4)"/>
      <w:lvlJc w:val="left"/>
      <w:pPr>
        <w:ind w:left="624" w:hanging="284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15B033F3"/>
    <w:multiLevelType w:val="multilevel"/>
    <w:tmpl w:val="81C6E6C0"/>
    <w:numStyleLink w:val="Programylekowe"/>
  </w:abstractNum>
  <w:abstractNum w:abstractNumId="3" w15:restartNumberingAfterBreak="0">
    <w:nsid w:val="160C7E8C"/>
    <w:multiLevelType w:val="multilevel"/>
    <w:tmpl w:val="CFCA3496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hint="default"/>
        <w:b w:val="0"/>
        <w:bCs w:val="0"/>
        <w:sz w:val="20"/>
      </w:rPr>
    </w:lvl>
    <w:lvl w:ilvl="3">
      <w:start w:val="1"/>
      <w:numFmt w:val="lowerLetter"/>
      <w:lvlText w:val="%4)"/>
      <w:lvlJc w:val="left"/>
      <w:pPr>
        <w:ind w:left="624" w:hanging="284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72510FB"/>
    <w:multiLevelType w:val="multilevel"/>
    <w:tmpl w:val="7F3CBB2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lvlText w:val="%4)"/>
      <w:lvlJc w:val="left"/>
      <w:pPr>
        <w:ind w:left="624" w:hanging="284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234C5B12"/>
    <w:multiLevelType w:val="multilevel"/>
    <w:tmpl w:val="81C6E6C0"/>
    <w:numStyleLink w:val="Programylekowe"/>
  </w:abstractNum>
  <w:abstractNum w:abstractNumId="6" w15:restartNumberingAfterBreak="0">
    <w:nsid w:val="25EE5FED"/>
    <w:multiLevelType w:val="multilevel"/>
    <w:tmpl w:val="81C6E6C0"/>
    <w:numStyleLink w:val="Programylekowe"/>
  </w:abstractNum>
  <w:abstractNum w:abstractNumId="7" w15:restartNumberingAfterBreak="0">
    <w:nsid w:val="263565E8"/>
    <w:multiLevelType w:val="multilevel"/>
    <w:tmpl w:val="81C6E6C0"/>
    <w:numStyleLink w:val="Programylekowe"/>
  </w:abstractNum>
  <w:abstractNum w:abstractNumId="8" w15:restartNumberingAfterBreak="0">
    <w:nsid w:val="28F44505"/>
    <w:multiLevelType w:val="multilevel"/>
    <w:tmpl w:val="81C6E6C0"/>
    <w:numStyleLink w:val="Programylekowe"/>
  </w:abstractNum>
  <w:abstractNum w:abstractNumId="9" w15:restartNumberingAfterBreak="0">
    <w:nsid w:val="2B370733"/>
    <w:multiLevelType w:val="multilevel"/>
    <w:tmpl w:val="81C6E6C0"/>
    <w:numStyleLink w:val="Programylekowe"/>
  </w:abstractNum>
  <w:abstractNum w:abstractNumId="10" w15:restartNumberingAfterBreak="0">
    <w:nsid w:val="2DC33F9C"/>
    <w:multiLevelType w:val="multilevel"/>
    <w:tmpl w:val="81C6E6C0"/>
    <w:styleLink w:val="Programylekow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2">
      <w:start w:val="1"/>
      <w:numFmt w:val="decimal"/>
      <w:lvlText w:val="%3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3">
      <w:start w:val="1"/>
      <w:numFmt w:val="lowerLetter"/>
      <w:lvlText w:val="%4)"/>
      <w:lvlJc w:val="left"/>
      <w:pPr>
        <w:ind w:left="624" w:hanging="284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5AD6F80"/>
    <w:multiLevelType w:val="multilevel"/>
    <w:tmpl w:val="514AE97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hint="default"/>
        <w:b w:val="0"/>
        <w:bCs w:val="0"/>
        <w:sz w:val="20"/>
      </w:rPr>
    </w:lvl>
    <w:lvl w:ilvl="3">
      <w:start w:val="1"/>
      <w:numFmt w:val="lowerLetter"/>
      <w:lvlText w:val="%4)"/>
      <w:lvlJc w:val="left"/>
      <w:pPr>
        <w:ind w:left="624" w:hanging="284"/>
      </w:pPr>
      <w:rPr>
        <w:rFonts w:ascii="Times New Roman" w:hAnsi="Times New Roman" w:hint="default"/>
        <w:b w:val="0"/>
        <w:bCs w:val="0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38B2428A"/>
    <w:multiLevelType w:val="multilevel"/>
    <w:tmpl w:val="81C6E6C0"/>
    <w:numStyleLink w:val="Programylekowe"/>
  </w:abstractNum>
  <w:abstractNum w:abstractNumId="13" w15:restartNumberingAfterBreak="0">
    <w:nsid w:val="3AA33DA9"/>
    <w:multiLevelType w:val="multilevel"/>
    <w:tmpl w:val="81C6E6C0"/>
    <w:numStyleLink w:val="Programylekowe"/>
  </w:abstractNum>
  <w:abstractNum w:abstractNumId="14" w15:restartNumberingAfterBreak="0">
    <w:nsid w:val="3FC10F41"/>
    <w:multiLevelType w:val="multilevel"/>
    <w:tmpl w:val="C96001E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sz w:val="2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lvlText w:val="%4)"/>
      <w:lvlJc w:val="left"/>
      <w:pPr>
        <w:ind w:left="624" w:hanging="284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FCF20F3"/>
    <w:multiLevelType w:val="multilevel"/>
    <w:tmpl w:val="81C6E6C0"/>
    <w:numStyleLink w:val="Programylekowe"/>
  </w:abstractNum>
  <w:abstractNum w:abstractNumId="16" w15:restartNumberingAfterBreak="0">
    <w:nsid w:val="412B6370"/>
    <w:multiLevelType w:val="multilevel"/>
    <w:tmpl w:val="81C6E6C0"/>
    <w:numStyleLink w:val="Programylekowe"/>
  </w:abstractNum>
  <w:abstractNum w:abstractNumId="17" w15:restartNumberingAfterBreak="0">
    <w:nsid w:val="48D018E2"/>
    <w:multiLevelType w:val="multilevel"/>
    <w:tmpl w:val="81C6E6C0"/>
    <w:numStyleLink w:val="Programylekowe"/>
  </w:abstractNum>
  <w:abstractNum w:abstractNumId="18" w15:restartNumberingAfterBreak="0">
    <w:nsid w:val="558810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9F7B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D2D543B"/>
    <w:multiLevelType w:val="multilevel"/>
    <w:tmpl w:val="81C6E6C0"/>
    <w:numStyleLink w:val="Programylekowe"/>
  </w:abstractNum>
  <w:abstractNum w:abstractNumId="21" w15:restartNumberingAfterBreak="0">
    <w:nsid w:val="71867B53"/>
    <w:multiLevelType w:val="multilevel"/>
    <w:tmpl w:val="81C6E6C0"/>
    <w:numStyleLink w:val="Programylekowe"/>
  </w:abstractNum>
  <w:abstractNum w:abstractNumId="22" w15:restartNumberingAfterBreak="0">
    <w:nsid w:val="72190BA5"/>
    <w:multiLevelType w:val="multilevel"/>
    <w:tmpl w:val="81C6E6C0"/>
    <w:numStyleLink w:val="Programylekowe"/>
  </w:abstractNum>
  <w:abstractNum w:abstractNumId="23" w15:restartNumberingAfterBreak="0">
    <w:nsid w:val="7E11211B"/>
    <w:multiLevelType w:val="hybridMultilevel"/>
    <w:tmpl w:val="9BC2C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710544">
    <w:abstractNumId w:val="19"/>
  </w:num>
  <w:num w:numId="2" w16cid:durableId="1265770602">
    <w:abstractNumId w:val="23"/>
  </w:num>
  <w:num w:numId="3" w16cid:durableId="1463501732">
    <w:abstractNumId w:val="18"/>
  </w:num>
  <w:num w:numId="4" w16cid:durableId="188296705">
    <w:abstractNumId w:val="10"/>
  </w:num>
  <w:num w:numId="5" w16cid:durableId="872957434">
    <w:abstractNumId w:val="6"/>
  </w:num>
  <w:num w:numId="6" w16cid:durableId="208419743">
    <w:abstractNumId w:val="15"/>
  </w:num>
  <w:num w:numId="7" w16cid:durableId="1029768535">
    <w:abstractNumId w:val="5"/>
  </w:num>
  <w:num w:numId="8" w16cid:durableId="2077967342">
    <w:abstractNumId w:val="7"/>
  </w:num>
  <w:num w:numId="9" w16cid:durableId="1169516792">
    <w:abstractNumId w:val="20"/>
  </w:num>
  <w:num w:numId="10" w16cid:durableId="1342245198">
    <w:abstractNumId w:val="22"/>
  </w:num>
  <w:num w:numId="11" w16cid:durableId="1559437601">
    <w:abstractNumId w:val="11"/>
  </w:num>
  <w:num w:numId="12" w16cid:durableId="1904482662">
    <w:abstractNumId w:val="13"/>
  </w:num>
  <w:num w:numId="13" w16cid:durableId="744885687">
    <w:abstractNumId w:val="9"/>
  </w:num>
  <w:num w:numId="14" w16cid:durableId="1281187896">
    <w:abstractNumId w:val="8"/>
  </w:num>
  <w:num w:numId="15" w16cid:durableId="2117093022">
    <w:abstractNumId w:val="17"/>
  </w:num>
  <w:num w:numId="16" w16cid:durableId="1440560434">
    <w:abstractNumId w:val="1"/>
  </w:num>
  <w:num w:numId="17" w16cid:durableId="1341078296">
    <w:abstractNumId w:val="12"/>
  </w:num>
  <w:num w:numId="18" w16cid:durableId="1843156219">
    <w:abstractNumId w:val="21"/>
  </w:num>
  <w:num w:numId="19" w16cid:durableId="538782504">
    <w:abstractNumId w:val="4"/>
  </w:num>
  <w:num w:numId="20" w16cid:durableId="794444752">
    <w:abstractNumId w:val="16"/>
  </w:num>
  <w:num w:numId="21" w16cid:durableId="1959873772">
    <w:abstractNumId w:val="0"/>
  </w:num>
  <w:num w:numId="22" w16cid:durableId="1816991792">
    <w:abstractNumId w:val="2"/>
    <w:lvlOverride w:ilvl="2">
      <w:lvl w:ilvl="2">
        <w:start w:val="1"/>
        <w:numFmt w:val="decimal"/>
        <w:lvlText w:val="%3)"/>
        <w:lvlJc w:val="left"/>
        <w:pPr>
          <w:ind w:left="357" w:hanging="357"/>
        </w:pPr>
        <w:rPr>
          <w:rFonts w:ascii="Times New Roman" w:hAnsi="Times New Roman" w:hint="default"/>
          <w:b w:val="0"/>
          <w:bCs w:val="0"/>
          <w:sz w:val="20"/>
        </w:rPr>
      </w:lvl>
    </w:lvlOverride>
  </w:num>
  <w:num w:numId="23" w16cid:durableId="1579171718">
    <w:abstractNumId w:val="14"/>
  </w:num>
  <w:num w:numId="24" w16cid:durableId="14466515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D0"/>
    <w:rsid w:val="000D74E3"/>
    <w:rsid w:val="00156586"/>
    <w:rsid w:val="001A76CC"/>
    <w:rsid w:val="001D28B8"/>
    <w:rsid w:val="001E352C"/>
    <w:rsid w:val="001E3F32"/>
    <w:rsid w:val="00206B5F"/>
    <w:rsid w:val="00217E01"/>
    <w:rsid w:val="002254DD"/>
    <w:rsid w:val="002745DA"/>
    <w:rsid w:val="00283620"/>
    <w:rsid w:val="00296531"/>
    <w:rsid w:val="002D60AA"/>
    <w:rsid w:val="002E5849"/>
    <w:rsid w:val="003E0233"/>
    <w:rsid w:val="003E66BA"/>
    <w:rsid w:val="0040345C"/>
    <w:rsid w:val="00435920"/>
    <w:rsid w:val="00443DA0"/>
    <w:rsid w:val="00462AA7"/>
    <w:rsid w:val="004D1ED0"/>
    <w:rsid w:val="005045A5"/>
    <w:rsid w:val="00526B24"/>
    <w:rsid w:val="00537AFA"/>
    <w:rsid w:val="00557551"/>
    <w:rsid w:val="005E223C"/>
    <w:rsid w:val="00696BC1"/>
    <w:rsid w:val="006F214F"/>
    <w:rsid w:val="0071121A"/>
    <w:rsid w:val="0073686C"/>
    <w:rsid w:val="00744699"/>
    <w:rsid w:val="007B3A77"/>
    <w:rsid w:val="00831AA5"/>
    <w:rsid w:val="008425FC"/>
    <w:rsid w:val="008A590A"/>
    <w:rsid w:val="008F050E"/>
    <w:rsid w:val="00927D02"/>
    <w:rsid w:val="0093324A"/>
    <w:rsid w:val="009E04A5"/>
    <w:rsid w:val="00A046D1"/>
    <w:rsid w:val="00A06723"/>
    <w:rsid w:val="00A1376D"/>
    <w:rsid w:val="00AA2CA0"/>
    <w:rsid w:val="00AC1E68"/>
    <w:rsid w:val="00B8199B"/>
    <w:rsid w:val="00C3367F"/>
    <w:rsid w:val="00CA7DE7"/>
    <w:rsid w:val="00CD1A2D"/>
    <w:rsid w:val="00D41E52"/>
    <w:rsid w:val="00DA5FCA"/>
    <w:rsid w:val="00DA78C4"/>
    <w:rsid w:val="00DD464C"/>
    <w:rsid w:val="00E232D4"/>
    <w:rsid w:val="00E30439"/>
    <w:rsid w:val="00E37CAB"/>
    <w:rsid w:val="00E71AA1"/>
    <w:rsid w:val="00EA3EF4"/>
    <w:rsid w:val="00EC57B2"/>
    <w:rsid w:val="00ED712E"/>
    <w:rsid w:val="00F80813"/>
    <w:rsid w:val="00FD2A6D"/>
    <w:rsid w:val="00FD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9ABE4"/>
  <w15:docId w15:val="{145A890A-02F1-44A9-868C-A37BB3AA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DA0"/>
    <w:pPr>
      <w:spacing w:after="120" w:line="360" w:lineRule="auto"/>
    </w:pPr>
    <w:rPr>
      <w:rFonts w:ascii="Lato" w:hAnsi="Lato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1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1E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1E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1E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1ED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1ED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1ED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1ED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1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1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1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1ED0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1ED0"/>
    <w:rPr>
      <w:rFonts w:eastAsiaTheme="majorEastAsia" w:cstheme="majorBidi"/>
      <w:color w:val="0F4761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1ED0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1ED0"/>
    <w:rPr>
      <w:rFonts w:eastAsiaTheme="majorEastAsia" w:cstheme="majorBidi"/>
      <w:color w:val="595959" w:themeColor="text1" w:themeTint="A6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1ED0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1ED0"/>
    <w:rPr>
      <w:rFonts w:eastAsiaTheme="majorEastAsia" w:cstheme="majorBidi"/>
      <w:color w:val="272727" w:themeColor="text1" w:themeTint="D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4D1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1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1E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1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1E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1ED0"/>
    <w:rPr>
      <w:rFonts w:ascii="Lato" w:hAnsi="Lato"/>
      <w:i/>
      <w:iCs/>
      <w:color w:val="404040" w:themeColor="text1" w:themeTint="BF"/>
      <w:sz w:val="22"/>
    </w:rPr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4D1E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1E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1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1ED0"/>
    <w:rPr>
      <w:rFonts w:ascii="Lato" w:hAnsi="Lato"/>
      <w:i/>
      <w:iCs/>
      <w:color w:val="0F4761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4D1ED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D1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99"/>
    <w:qFormat/>
    <w:locked/>
    <w:rsid w:val="009E04A5"/>
    <w:rPr>
      <w:rFonts w:ascii="Lato" w:hAnsi="Lato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60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0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0AA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0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0AA"/>
    <w:rPr>
      <w:rFonts w:ascii="Lato" w:hAnsi="Lato"/>
      <w:b/>
      <w:bCs/>
      <w:sz w:val="20"/>
      <w:szCs w:val="20"/>
    </w:rPr>
  </w:style>
  <w:style w:type="numbering" w:customStyle="1" w:styleId="Programylekowe">
    <w:name w:val="Programy lekowe"/>
    <w:uiPriority w:val="99"/>
    <w:rsid w:val="00435920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3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EF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A590A"/>
    <w:pPr>
      <w:spacing w:after="0" w:line="240" w:lineRule="auto"/>
    </w:pPr>
    <w:rPr>
      <w:rFonts w:ascii="Lato" w:hAnsi="La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Rudek Paulina</cp:lastModifiedBy>
  <cp:revision>5</cp:revision>
  <dcterms:created xsi:type="dcterms:W3CDTF">2025-05-15T10:18:00Z</dcterms:created>
  <dcterms:modified xsi:type="dcterms:W3CDTF">2025-06-13T08:27:00Z</dcterms:modified>
</cp:coreProperties>
</file>